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1"/>
        <w:spacing w:lineRule="auto" w:line="288" w:before="240" w:after="120"/>
        <w:rPr>
          <w:rFonts w:ascii="Times New Roman" w:hAnsi="Times New Roman" w:cs="Times New Roman"/>
          <w:sz w:val="32"/>
          <w:szCs w:val="32"/>
        </w:rPr>
      </w:pPr>
      <w:r>
        <w:rPr/>
        <w:t>PROCES RECENZJI</w:t>
      </w:r>
    </w:p>
    <w:p>
      <w:pPr>
        <w:pStyle w:val="Tretekstu"/>
        <w:numPr>
          <w:ilvl w:val="0"/>
          <w:numId w:val="1"/>
        </w:numPr>
        <w:tabs>
          <w:tab w:val="clear" w:pos="709"/>
          <w:tab w:val="left" w:pos="0" w:leader="none"/>
        </w:tabs>
        <w:spacing w:before="0" w:after="0"/>
        <w:ind w:left="707" w:hanging="283"/>
        <w:rPr>
          <w:rFonts w:ascii="Times New Roman" w:hAnsi="Times New Roman" w:cs="Times New Roman"/>
          <w:sz w:val="32"/>
          <w:szCs w:val="32"/>
        </w:rPr>
      </w:pPr>
      <w:r>
        <w:rPr/>
        <w:t xml:space="preserve">Procedura recenzowania artykułów jest zgodna z zasadami recenzowania zawartymi w Komunikacie Ministra Nauki i Szkolnictwa Wyższego z danie 29 maja 2013. </w:t>
      </w:r>
    </w:p>
    <w:p>
      <w:pPr>
        <w:pStyle w:val="Tretekstu"/>
        <w:numPr>
          <w:ilvl w:val="0"/>
          <w:numId w:val="1"/>
        </w:numPr>
        <w:tabs>
          <w:tab w:val="clear" w:pos="709"/>
          <w:tab w:val="left" w:pos="0" w:leader="none"/>
        </w:tabs>
        <w:spacing w:before="0" w:after="0"/>
        <w:ind w:left="707" w:hanging="283"/>
        <w:rPr>
          <w:rFonts w:ascii="Times New Roman" w:hAnsi="Times New Roman" w:cs="Times New Roman"/>
          <w:sz w:val="32"/>
          <w:szCs w:val="32"/>
        </w:rPr>
      </w:pPr>
      <w:r>
        <w:rPr/>
        <w:t xml:space="preserve">Autorzy przysyłając pracę do publikacji w czasopiśmie wyrażają zgodę na proces recenzji. </w:t>
      </w:r>
    </w:p>
    <w:p>
      <w:pPr>
        <w:pStyle w:val="Tretekstu"/>
        <w:numPr>
          <w:ilvl w:val="0"/>
          <w:numId w:val="1"/>
        </w:numPr>
        <w:tabs>
          <w:tab w:val="clear" w:pos="709"/>
          <w:tab w:val="left" w:pos="0" w:leader="none"/>
        </w:tabs>
        <w:spacing w:before="0" w:after="0"/>
        <w:ind w:left="707" w:hanging="283"/>
        <w:rPr>
          <w:rFonts w:ascii="Times New Roman" w:hAnsi="Times New Roman" w:cs="Times New Roman"/>
          <w:sz w:val="32"/>
          <w:szCs w:val="32"/>
        </w:rPr>
      </w:pPr>
      <w:r>
        <w:rPr/>
        <w:t>Nadesłane publikacje są poddane ocenie w pierwszej kolejności przez Redakcję A</w:t>
      </w:r>
      <w:r>
        <w:rPr/>
        <w:t>DHIBENDY</w:t>
      </w:r>
      <w:r>
        <w:rPr/>
        <w:t xml:space="preserve">. </w:t>
      </w:r>
    </w:p>
    <w:p>
      <w:pPr>
        <w:pStyle w:val="Tretekstu"/>
        <w:numPr>
          <w:ilvl w:val="0"/>
          <w:numId w:val="1"/>
        </w:numPr>
        <w:tabs>
          <w:tab w:val="clear" w:pos="709"/>
          <w:tab w:val="left" w:pos="0" w:leader="none"/>
        </w:tabs>
        <w:spacing w:before="0" w:after="0"/>
        <w:ind w:left="707" w:hanging="283"/>
        <w:rPr>
          <w:rFonts w:ascii="Times New Roman" w:hAnsi="Times New Roman" w:cs="Times New Roman"/>
          <w:sz w:val="32"/>
          <w:szCs w:val="32"/>
        </w:rPr>
      </w:pPr>
      <w:r>
        <w:rPr/>
        <w:t xml:space="preserve">Następnie publikacje są recenzowane przez dwóch rzetelnych recenzentów, posiadających co najmniej stopień doktora. </w:t>
      </w:r>
    </w:p>
    <w:p>
      <w:pPr>
        <w:pStyle w:val="Tretekstu"/>
        <w:numPr>
          <w:ilvl w:val="0"/>
          <w:numId w:val="1"/>
        </w:numPr>
        <w:tabs>
          <w:tab w:val="clear" w:pos="709"/>
          <w:tab w:val="left" w:pos="0" w:leader="none"/>
        </w:tabs>
        <w:spacing w:before="0" w:after="0"/>
        <w:ind w:left="707" w:hanging="283"/>
        <w:rPr>
          <w:rFonts w:ascii="Times New Roman" w:hAnsi="Times New Roman" w:cs="Times New Roman"/>
          <w:sz w:val="32"/>
          <w:szCs w:val="32"/>
        </w:rPr>
      </w:pPr>
      <w:r>
        <w:rPr/>
        <w:t xml:space="preserve">Nadesłane prace nie będą wysyłane do recenzentów z tej samej placówki, z której pochodzą Autorzy oraz do osób mogących pozostawać z Autorem w konflikcie interesów. Przez konflikt interesów rozumie się zależność służbową (podległość zawodową), bezpośrednią współpracę naukową (w ciągu ostatnich dwóch lat poprzedzających rok przygotowania recenzji) oraz bezpośrednie relacje osobiste (pokrewieństwo do drugiego stopnia, związek małżeński) występujące pomiędzy recenzentem a autorem recenzowanego tekstu. Recenzentami nie są także członkowie Redakcji (redaktor naczelny, zastępca redaktora naczelnego oraz sekretarz redakcji). </w:t>
      </w:r>
    </w:p>
    <w:p>
      <w:pPr>
        <w:pStyle w:val="Tretekstu"/>
        <w:numPr>
          <w:ilvl w:val="0"/>
          <w:numId w:val="1"/>
        </w:numPr>
        <w:tabs>
          <w:tab w:val="clear" w:pos="709"/>
          <w:tab w:val="left" w:pos="0" w:leader="none"/>
        </w:tabs>
        <w:spacing w:before="0" w:after="0"/>
        <w:ind w:left="707" w:hanging="283"/>
        <w:rPr>
          <w:rFonts w:ascii="Times New Roman" w:hAnsi="Times New Roman" w:cs="Times New Roman"/>
          <w:sz w:val="32"/>
          <w:szCs w:val="32"/>
        </w:rPr>
      </w:pPr>
      <w:r>
        <w:rPr/>
        <w:t xml:space="preserve">Prace recenzowane są poufnie i anonimowo (double blind review process). </w:t>
      </w:r>
    </w:p>
    <w:p>
      <w:pPr>
        <w:pStyle w:val="Tretekstu"/>
        <w:numPr>
          <w:ilvl w:val="0"/>
          <w:numId w:val="1"/>
        </w:numPr>
        <w:tabs>
          <w:tab w:val="clear" w:pos="709"/>
          <w:tab w:val="left" w:pos="0" w:leader="none"/>
        </w:tabs>
        <w:spacing w:before="0" w:after="0"/>
        <w:ind w:left="707" w:hanging="283"/>
        <w:rPr>
          <w:rFonts w:ascii="Times New Roman" w:hAnsi="Times New Roman" w:cs="Times New Roman"/>
          <w:sz w:val="32"/>
          <w:szCs w:val="32"/>
        </w:rPr>
      </w:pPr>
      <w:r>
        <w:rPr/>
        <w:t xml:space="preserve">Pracy nadawany jest numer redakcyjny, identyfikujący ją na dalszych etapach procesu wydawniczego. </w:t>
      </w:r>
    </w:p>
    <w:p>
      <w:pPr>
        <w:pStyle w:val="Tretekstu"/>
        <w:numPr>
          <w:ilvl w:val="0"/>
          <w:numId w:val="1"/>
        </w:numPr>
        <w:tabs>
          <w:tab w:val="clear" w:pos="709"/>
          <w:tab w:val="left" w:pos="0" w:leader="none"/>
        </w:tabs>
        <w:spacing w:before="0" w:after="0"/>
        <w:ind w:left="707" w:hanging="283"/>
        <w:rPr>
          <w:rFonts w:ascii="Times New Roman" w:hAnsi="Times New Roman" w:cs="Times New Roman"/>
          <w:sz w:val="32"/>
          <w:szCs w:val="32"/>
        </w:rPr>
      </w:pPr>
      <w:r>
        <w:rPr/>
        <w:t xml:space="preserve">Recenzenci są zobowiązani do poufności i zachowania w tajemnicy wszystkich informacji przekazanych przez Redakcję. Recenzentom nie wolno wykorzystywać wiedzy na temat pracy przed jej publikacją. </w:t>
      </w:r>
    </w:p>
    <w:p>
      <w:pPr>
        <w:pStyle w:val="Tretekstu"/>
        <w:numPr>
          <w:ilvl w:val="0"/>
          <w:numId w:val="1"/>
        </w:numPr>
        <w:tabs>
          <w:tab w:val="clear" w:pos="709"/>
          <w:tab w:val="left" w:pos="0" w:leader="none"/>
        </w:tabs>
        <w:spacing w:before="0" w:after="0"/>
        <w:ind w:left="707" w:hanging="283"/>
        <w:rPr>
          <w:rFonts w:ascii="Times New Roman" w:hAnsi="Times New Roman" w:cs="Times New Roman"/>
          <w:sz w:val="32"/>
          <w:szCs w:val="32"/>
        </w:rPr>
      </w:pPr>
      <w:r>
        <w:rPr/>
        <w:t xml:space="preserve">Recenzent winien zaalarmować Redakcję wobec zaistnienia ewentualnego podobieństwa recenzowanego artykułu do jakichkolwiek wcześniej publikowanych treści </w:t>
      </w:r>
    </w:p>
    <w:p>
      <w:pPr>
        <w:pStyle w:val="Tretekstu"/>
        <w:numPr>
          <w:ilvl w:val="0"/>
          <w:numId w:val="1"/>
        </w:numPr>
        <w:tabs>
          <w:tab w:val="clear" w:pos="709"/>
          <w:tab w:val="left" w:pos="0" w:leader="none"/>
        </w:tabs>
        <w:spacing w:before="0" w:after="0"/>
        <w:ind w:left="707" w:hanging="283"/>
        <w:rPr>
          <w:rFonts w:ascii="Times New Roman" w:hAnsi="Times New Roman" w:cs="Times New Roman"/>
          <w:sz w:val="32"/>
          <w:szCs w:val="32"/>
        </w:rPr>
      </w:pPr>
      <w:r>
        <w:rPr/>
        <w:t xml:space="preserve">Recenzent przekazuje sporządzoną recenzję w postaci elektronicznej na adres mailowy Redakcji podany na formularzu recenzji oraz w formie papierowej z odręcznym podpisem, która przechowywana jest w Redakcji przez okres 5 lat. </w:t>
      </w:r>
    </w:p>
    <w:p>
      <w:pPr>
        <w:pStyle w:val="Tretekstu"/>
        <w:numPr>
          <w:ilvl w:val="0"/>
          <w:numId w:val="1"/>
        </w:numPr>
        <w:tabs>
          <w:tab w:val="clear" w:pos="709"/>
          <w:tab w:val="left" w:pos="0" w:leader="none"/>
        </w:tabs>
        <w:spacing w:before="0" w:after="0"/>
        <w:ind w:left="707" w:hanging="283"/>
        <w:rPr>
          <w:rFonts w:ascii="Times New Roman" w:hAnsi="Times New Roman" w:cs="Times New Roman"/>
          <w:sz w:val="32"/>
          <w:szCs w:val="32"/>
        </w:rPr>
      </w:pPr>
      <w:r>
        <w:rPr/>
        <w:t xml:space="preserve">Recenzja musi zawierać jednoznaczny wniosek recenzenta dotyczący warunków dopuszczenia artykułu do publikacji lub jego odrzucenia. Nie będą brane pod uwagę recenzje niespełniające merytorycznych i formalnych wymagań recenzji naukowej, w tym zdominowane przez nieumotywowane opinie krytyczne bądź nieumotywowane pochwały, pozbawione logicznego powiązania między treścią a konkluzją, tj. recenzje zdecydowanie krytyczne, lecz z konkluzją pozytywną bądź odwrotnie. </w:t>
      </w:r>
    </w:p>
    <w:p>
      <w:pPr>
        <w:pStyle w:val="Tretekstu"/>
        <w:numPr>
          <w:ilvl w:val="0"/>
          <w:numId w:val="1"/>
        </w:numPr>
        <w:tabs>
          <w:tab w:val="clear" w:pos="709"/>
          <w:tab w:val="left" w:pos="0" w:leader="none"/>
        </w:tabs>
        <w:ind w:left="707" w:hanging="283"/>
        <w:rPr>
          <w:rFonts w:ascii="Times New Roman" w:hAnsi="Times New Roman" w:cs="Times New Roman"/>
          <w:sz w:val="32"/>
          <w:szCs w:val="32"/>
        </w:rPr>
      </w:pPr>
      <w:r>
        <w:rPr/>
        <w:t>Ostateczną kwalifikację do druku podejmuje Redaktor Naczelny na podstawie analizy uwag zawartych w recenzji i ostatecznej wersji artykułu dostarczonej przez Autora.</w:t>
      </w:r>
    </w:p>
    <w:p>
      <w:pPr>
        <w:pStyle w:val="Tretekstu"/>
        <w:rPr>
          <w:rFonts w:ascii="Times New Roman" w:hAnsi="Times New Roman" w:cs="Times New Roman"/>
          <w:sz w:val="32"/>
          <w:szCs w:val="32"/>
        </w:rPr>
      </w:pPr>
      <w:r>
        <w:rPr/>
      </w:r>
    </w:p>
    <w:p>
      <w:pPr>
        <w:pStyle w:val="Tretekstu"/>
        <w:rPr>
          <w:rFonts w:ascii="Times New Roman" w:hAnsi="Times New Roman" w:cs="Times New Roman"/>
          <w:sz w:val="32"/>
          <w:szCs w:val="32"/>
        </w:rPr>
      </w:pPr>
      <w:r>
        <w:rPr/>
        <w:t>Formularz recenzji pdf</w:t>
      </w:r>
    </w:p>
    <w:p>
      <w:pPr>
        <w:pStyle w:val="Brakstyluakapitowego"/>
        <w:spacing w:lineRule="auto" w:line="288"/>
        <w:rPr>
          <w:rFonts w:ascii="Times New Roman" w:hAnsi="Times New Roman" w:cs="Times New Roman"/>
          <w:sz w:val="32"/>
          <w:szCs w:val="32"/>
        </w:rPr>
      </w:pPr>
      <w:r>
        <w:rPr/>
      </w:r>
    </w:p>
    <w:sectPr>
      <w:type w:val="nextPage"/>
      <w:pgSz w:w="11906" w:h="16838"/>
      <w:pgMar w:left="1417" w:right="1417" w:header="0" w:top="709"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pStyle w:val="Nagwek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agwek"/>
    <w:next w:val="Tretekstu"/>
    <w:qFormat/>
    <w:pPr>
      <w:spacing w:before="240" w:after="120"/>
      <w:outlineLvl w:val="0"/>
    </w:pPr>
    <w:rPr>
      <w:rFonts w:ascii="Liberation Serif" w:hAnsi="Liberation Serif" w:eastAsia="Segoe UI" w:cs="Tahoma"/>
      <w:b/>
      <w:bCs/>
      <w:sz w:val="48"/>
      <w:szCs w:val="48"/>
    </w:rPr>
  </w:style>
  <w:style w:type="character" w:styleId="DefaultParagraphFont" w:default="1">
    <w:name w:val="Default Paragraph Font"/>
    <w:uiPriority w:val="1"/>
    <w:semiHidden/>
    <w:unhideWhenUsed/>
    <w:qFormat/>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rakstyluakapitowego">
    <w:name w:val="[Brak stylu akapitowego]"/>
    <w:qFormat/>
    <w:pPr>
      <w:widowControl/>
      <w:suppressAutoHyphens w:val="true"/>
      <w:bidi w:val="0"/>
      <w:spacing w:lineRule="auto" w:line="288" w:before="0" w:after="0"/>
      <w:jc w:val="left"/>
    </w:pPr>
    <w:rPr>
      <w:rFonts w:ascii="Times New Roman" w:hAnsi="Times New Roman" w:eastAsia="Times New Roman" w:cs="Times New Roman"/>
      <w:color w:val="000000"/>
      <w:kern w:val="2"/>
      <w:sz w:val="24"/>
      <w:szCs w:val="24"/>
      <w:lang w:val="pl-PL" w:eastAsia="zh-CN" w:bidi="ar-SA"/>
    </w:rPr>
  </w:style>
  <w:style w:type="paragraph" w:styleId="Standard">
    <w:name w:val="Standard"/>
    <w:qFormat/>
    <w:pPr>
      <w:widowControl/>
      <w:suppressAutoHyphens w:val="true"/>
      <w:bidi w:val="0"/>
      <w:spacing w:lineRule="auto" w:line="240" w:before="0" w:after="0"/>
      <w:jc w:val="left"/>
    </w:pPr>
    <w:rPr>
      <w:rFonts w:ascii="Liberation Serif" w:hAnsi="Liberation Serif" w:eastAsia="SimSun" w:cs="Arial"/>
      <w:color w:val="auto"/>
      <w:kern w:val="2"/>
      <w:sz w:val="24"/>
      <w:szCs w:val="24"/>
      <w:lang w:val="pl-PL" w:eastAsia="zh-CN" w:bidi="hi-IN"/>
    </w:rPr>
  </w:style>
  <w:style w:type="paragraph" w:styleId="NoSpacing">
    <w:name w:val="No Spacing"/>
    <w:qFormat/>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LibreOffice/7.1.0.3$Windows_X86_64 LibreOffice_project/f6099ecf3d29644b5008cc8f48f42f4a40986e4c</Application>
  <AppVersion>15.0000</AppVersion>
  <Pages>1</Pages>
  <Words>320</Words>
  <Characters>2198</Characters>
  <CharactersWithSpaces>2503</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8.1</dc:creator>
  <dc:description/>
  <dc:language>pl-PL</dc:language>
  <cp:lastModifiedBy/>
  <dcterms:modified xsi:type="dcterms:W3CDTF">2021-08-05T08:27:32Z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file>